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钦州市本级</w:t>
      </w:r>
      <w:r>
        <w:rPr>
          <w:rFonts w:hint="eastAsia" w:ascii="方正小标宋_GBK" w:hAnsi="方正小标宋_GBK" w:eastAsia="方正小标宋_GBK" w:cs="方正小标宋_GBK"/>
          <w:sz w:val="44"/>
          <w:szCs w:val="44"/>
          <w:lang w:eastAsia="zh-CN"/>
        </w:rPr>
        <w:t>城市</w:t>
      </w:r>
      <w:r>
        <w:rPr>
          <w:rFonts w:hint="eastAsia" w:ascii="方正小标宋_GBK" w:hAnsi="方正小标宋_GBK" w:eastAsia="方正小标宋_GBK" w:cs="方正小标宋_GBK"/>
          <w:sz w:val="44"/>
          <w:szCs w:val="44"/>
          <w:lang w:val="en-US" w:eastAsia="zh-CN"/>
        </w:rPr>
        <w:t>土地盘活</w:t>
      </w:r>
      <w:r>
        <w:rPr>
          <w:rFonts w:hint="eastAsia" w:ascii="方正小标宋_GBK" w:hAnsi="方正小标宋_GBK" w:eastAsia="方正小标宋_GBK" w:cs="方正小标宋_GBK"/>
          <w:sz w:val="44"/>
          <w:szCs w:val="44"/>
        </w:rPr>
        <w:t>奖励办法</w:t>
      </w:r>
      <w:r>
        <w:rPr>
          <w:rFonts w:hint="eastAsia" w:ascii="方正小标宋_GBK" w:hAnsi="方正小标宋_GBK" w:eastAsia="方正小标宋_GBK" w:cs="方正小标宋_GBK"/>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hAnsi="方正仿宋_GBK" w:eastAsia="方正仿宋_GBK" w:cs="方正仿宋_GBK"/>
          <w:sz w:val="32"/>
          <w:szCs w:val="40"/>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eastAsia="zh-CN"/>
        </w:rPr>
        <w:t>第一章</w:t>
      </w:r>
      <w:r>
        <w:rPr>
          <w:rFonts w:hint="eastAsia" w:ascii="方正黑体_GBK" w:hAnsi="方正黑体_GBK" w:eastAsia="方正黑体_GBK" w:cs="方正黑体_GBK"/>
          <w:sz w:val="32"/>
          <w:szCs w:val="40"/>
          <w:lang w:val="en-US" w:eastAsia="zh-CN"/>
        </w:rPr>
        <w:t xml:space="preserve"> 总  则</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eastAsia" w:ascii="方正仿宋_GBK" w:hAnsi="方正仿宋_GBK" w:eastAsia="方正仿宋_GBK" w:cs="方正仿宋_GBK"/>
          <w:sz w:val="32"/>
          <w:szCs w:val="40"/>
          <w:lang w:val="en-US" w:eastAsia="zh-CN"/>
        </w:rPr>
      </w:pPr>
      <w:r>
        <w:rPr>
          <w:rFonts w:hint="eastAsia" w:ascii="黑体" w:hAnsi="黑体" w:eastAsia="黑体" w:cs="黑体"/>
          <w:sz w:val="32"/>
          <w:szCs w:val="40"/>
          <w:lang w:val="en-US" w:eastAsia="zh-CN"/>
        </w:rPr>
        <w:t>第一条</w:t>
      </w:r>
      <w:r>
        <w:rPr>
          <w:rFonts w:hint="eastAsia" w:ascii="方正仿宋_GBK" w:hAnsi="方正仿宋_GBK" w:eastAsia="方正仿宋_GBK" w:cs="方正仿宋_GBK"/>
          <w:sz w:val="32"/>
          <w:szCs w:val="40"/>
          <w:lang w:val="en-US" w:eastAsia="zh-CN"/>
        </w:rPr>
        <w:t xml:space="preserve">  为优化土地资源配置，加快推进城市开发建设，鼓励社会资本和国有企业积极配合盘活存量建设用地，依据《自然资源部关于运用地方政府专项债券资金收回收购存量闲置土地的通知》（自然资发〔2024〕242号）、《广西壮族自治区人民政府办公厅关于印发&lt;广西国有“三资”清查盘活总体实施方案&gt;的通知》（桂政办发〔2025〕40号）等有关规定，结合钦州市本级实际，制定本办法。</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eastAsia" w:ascii="方正仿宋_GBK" w:hAnsi="方正仿宋_GBK" w:eastAsia="方正仿宋_GBK" w:cs="方正仿宋_GBK"/>
          <w:sz w:val="32"/>
          <w:szCs w:val="40"/>
          <w:lang w:val="en-US" w:eastAsia="zh-CN"/>
        </w:rPr>
      </w:pPr>
      <w:r>
        <w:rPr>
          <w:rFonts w:hint="eastAsia" w:ascii="黑体" w:hAnsi="黑体" w:eastAsia="黑体" w:cs="黑体"/>
          <w:sz w:val="32"/>
          <w:szCs w:val="40"/>
          <w:lang w:val="en-US" w:eastAsia="zh-CN"/>
        </w:rPr>
        <w:t>第二条</w:t>
      </w:r>
      <w:r>
        <w:rPr>
          <w:rFonts w:hint="eastAsia" w:ascii="方正仿宋_GBK" w:hAnsi="方正仿宋_GBK" w:eastAsia="方正仿宋_GBK" w:cs="方正仿宋_GBK"/>
          <w:sz w:val="32"/>
          <w:szCs w:val="40"/>
          <w:lang w:val="en-US" w:eastAsia="zh-CN"/>
        </w:rPr>
        <w:t xml:space="preserve">  本办法所称的钦州市本级城市土地，是指钦州市主城区及滨海新城范围内类型为“出让”并已办理不动产权证（或国有土地使用权证）的国有建设用地。</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本办法所称的土地评估价格，是指土地按市场评估确定的价格。</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本办法所称的协议收回补偿价格，是指自然资源部门与土地使用权所有人以协议约定，对土地的收回补偿价格。</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本办法所称的土地取得成本，是指土地使用权所有人取得城市土地时的合同价格。</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第二章  适用范围、奖励条件及标准</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default" w:ascii="方正仿宋_GBK" w:hAnsi="方正仿宋_GBK" w:eastAsia="方正仿宋_GBK" w:cs="方正仿宋_GBK"/>
          <w:sz w:val="32"/>
          <w:szCs w:val="40"/>
          <w:lang w:val="en-US" w:eastAsia="zh-CN"/>
        </w:rPr>
      </w:pPr>
      <w:r>
        <w:rPr>
          <w:rFonts w:hint="eastAsia" w:ascii="黑体" w:hAnsi="黑体" w:eastAsia="黑体" w:cs="黑体"/>
          <w:sz w:val="32"/>
          <w:szCs w:val="40"/>
          <w:lang w:val="en-US" w:eastAsia="zh-CN"/>
        </w:rPr>
        <w:t>第三条</w:t>
      </w:r>
      <w:r>
        <w:rPr>
          <w:rFonts w:hint="eastAsia" w:ascii="方正仿宋_GBK" w:hAnsi="方正仿宋_GBK" w:eastAsia="方正仿宋_GBK" w:cs="方正仿宋_GBK"/>
          <w:sz w:val="32"/>
          <w:szCs w:val="40"/>
          <w:lang w:val="en-US" w:eastAsia="zh-CN"/>
        </w:rPr>
        <w:t xml:space="preserve">  奖励遵循“政府引导、自愿参与、正向激励、以奖促收”的原则。</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适用范围：依据钦州市国土空间规划与城市开发计划，由钦州市人民政府主动收回的未开发建设土地，土地使用权所有人折价配合收回，可申请按本办法的奖励条件及标准予以奖励。</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eastAsia" w:ascii="方正仿宋_GBK" w:hAnsi="方正仿宋_GBK" w:eastAsia="方正仿宋_GBK" w:cs="方正仿宋_GBK"/>
          <w:sz w:val="32"/>
          <w:szCs w:val="40"/>
          <w:lang w:val="en-US" w:eastAsia="zh-CN"/>
        </w:rPr>
      </w:pPr>
      <w:r>
        <w:rPr>
          <w:rFonts w:hint="eastAsia" w:ascii="黑体" w:hAnsi="黑体" w:eastAsia="黑体" w:cs="黑体"/>
          <w:sz w:val="32"/>
          <w:szCs w:val="40"/>
          <w:lang w:val="en-US" w:eastAsia="zh-CN"/>
        </w:rPr>
        <w:t xml:space="preserve">第四条 </w:t>
      </w:r>
      <w:r>
        <w:rPr>
          <w:rFonts w:hint="eastAsia" w:ascii="方正仿宋_GBK" w:hAnsi="方正仿宋_GBK" w:eastAsia="方正仿宋_GBK" w:cs="方正仿宋_GBK"/>
          <w:sz w:val="32"/>
          <w:szCs w:val="40"/>
          <w:lang w:val="en-US" w:eastAsia="zh-CN"/>
        </w:rPr>
        <w:t xml:space="preserve"> 申请奖励的企业（单位）和个人应同时满足以下条件：</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（一）土地权属清晰，不存在抵押、查封等权利限制情形，或已取得相关权利人书面同意；</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（二）已签订土地收储协议，明确土地收回价格；</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shd w:val="clear"/>
          <w:lang w:val="en-US" w:eastAsia="zh-CN"/>
        </w:rPr>
      </w:pPr>
      <w:r>
        <w:rPr>
          <w:rFonts w:hint="eastAsia" w:ascii="黑体" w:hAnsi="黑体" w:eastAsia="黑体" w:cs="黑体"/>
          <w:sz w:val="32"/>
          <w:szCs w:val="32"/>
          <w:shd w:val="clear"/>
          <w:lang w:val="en-US" w:eastAsia="zh-CN"/>
        </w:rPr>
        <w:t xml:space="preserve">第五条 </w:t>
      </w:r>
      <w:r>
        <w:rPr>
          <w:rFonts w:hint="eastAsia" w:ascii="方正仿宋_GBK" w:hAnsi="方正仿宋_GBK" w:eastAsia="方正仿宋_GBK" w:cs="方正仿宋_GBK"/>
          <w:sz w:val="32"/>
          <w:szCs w:val="32"/>
          <w:shd w:val="clear"/>
          <w:lang w:val="en-US" w:eastAsia="zh-CN"/>
        </w:rPr>
        <w:t xml:space="preserve"> 奖励标准具体按以下公式计算：</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shd w:val="clear"/>
          <w:lang w:val="en-US" w:eastAsia="zh-CN"/>
        </w:rPr>
      </w:pPr>
      <w:r>
        <w:rPr>
          <w:rFonts w:hint="eastAsia" w:ascii="方正仿宋_GBK" w:hAnsi="方正仿宋_GBK" w:eastAsia="方正仿宋_GBK" w:cs="方正仿宋_GBK"/>
          <w:sz w:val="32"/>
          <w:szCs w:val="32"/>
          <w:shd w:val="clear"/>
          <w:lang w:val="en-US" w:eastAsia="zh-CN"/>
        </w:rPr>
        <w:t>奖励金额=[（土地评估价格-协议收储价格）×50%+（城市土地取得成本-协议收储价格）×50%]×奖励系数K</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shd w:val="clear"/>
          <w:lang w:val="en-US" w:eastAsia="zh-CN"/>
        </w:rPr>
      </w:pPr>
      <w:r>
        <w:rPr>
          <w:rFonts w:hint="eastAsia" w:ascii="方正仿宋_GBK" w:hAnsi="方正仿宋_GBK" w:eastAsia="方正仿宋_GBK" w:cs="方正仿宋_GBK"/>
          <w:sz w:val="32"/>
          <w:szCs w:val="32"/>
          <w:shd w:val="clear"/>
          <w:lang w:val="en-US" w:eastAsia="zh-CN"/>
        </w:rPr>
        <w:t>按土地储备专项债有关指导意见，为预留足够覆盖倍数，收储土地的折扣比例R高于80%时，不应予以奖励。同时，为体现资产权利所有人向政府让利越大，对应给予的奖励越大，现设置奖励系数K与折扣比例R为负相关，当R≤80%时，奖励系数K具体计算方式如下：</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shd w:val="clear"/>
          <w:lang w:val="en-US" w:eastAsia="zh-CN"/>
        </w:rPr>
      </w:pPr>
      <w:r>
        <w:rPr>
          <w:rFonts w:hint="eastAsia" w:ascii="方正仿宋_GBK" w:hAnsi="方正仿宋_GBK" w:eastAsia="方正仿宋_GBK" w:cs="方正仿宋_GBK"/>
          <w:sz w:val="32"/>
          <w:szCs w:val="32"/>
          <w:shd w:val="clear"/>
          <w:lang w:val="en-US" w:eastAsia="zh-CN"/>
        </w:rPr>
        <w:t>折扣比例R=协议收储价格÷土地评估价格×100%。</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shd w:val="clear"/>
          <w:lang w:val="en-US" w:eastAsia="zh-CN"/>
        </w:rPr>
      </w:pPr>
      <w:r>
        <w:rPr>
          <w:rFonts w:hint="eastAsia" w:ascii="方正仿宋_GBK" w:hAnsi="方正仿宋_GBK" w:eastAsia="方正仿宋_GBK" w:cs="方正仿宋_GBK"/>
          <w:sz w:val="32"/>
          <w:szCs w:val="32"/>
          <w:shd w:val="clear"/>
          <w:lang w:val="en-US" w:eastAsia="zh-CN"/>
        </w:rPr>
        <w:t>1.打折比例80%＞R≥65%（6.5-8折），奖励系数K=50%</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shd w:val="clear"/>
          <w:lang w:val="en-US" w:eastAsia="zh-CN"/>
        </w:rPr>
      </w:pPr>
      <w:r>
        <w:rPr>
          <w:rFonts w:hint="eastAsia" w:ascii="方正仿宋_GBK" w:hAnsi="方正仿宋_GBK" w:eastAsia="方正仿宋_GBK" w:cs="方正仿宋_GBK"/>
          <w:sz w:val="32"/>
          <w:szCs w:val="32"/>
          <w:shd w:val="clear"/>
          <w:lang w:val="en-US" w:eastAsia="zh-CN"/>
        </w:rPr>
        <w:t>2.打折比例65%＞R≥50%（6-7折），奖励系数K=75%</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shd w:val="clear"/>
          <w:lang w:val="en-US" w:eastAsia="zh-CN"/>
        </w:rPr>
      </w:pPr>
      <w:r>
        <w:rPr>
          <w:rFonts w:hint="eastAsia" w:ascii="方正仿宋_GBK" w:hAnsi="方正仿宋_GBK" w:eastAsia="方正仿宋_GBK" w:cs="方正仿宋_GBK"/>
          <w:sz w:val="32"/>
          <w:szCs w:val="32"/>
          <w:shd w:val="clear"/>
          <w:lang w:val="en-US" w:eastAsia="zh-CN"/>
        </w:rPr>
        <w:t>3.打折比例50%＞R（5折以下），奖励系数K=90%</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lang w:val="en-US" w:eastAsia="zh-CN"/>
        </w:rPr>
        <w:t>奖励金额以“土地评估价格减去协议收储价格的计算结果”为上限。</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eastAsia="zh-CN"/>
        </w:rPr>
        <w:t>第</w:t>
      </w:r>
      <w:r>
        <w:rPr>
          <w:rFonts w:hint="eastAsia" w:ascii="方正黑体_GBK" w:hAnsi="方正黑体_GBK" w:eastAsia="方正黑体_GBK" w:cs="方正黑体_GBK"/>
          <w:sz w:val="32"/>
          <w:szCs w:val="40"/>
          <w:lang w:val="en-US" w:eastAsia="zh-CN"/>
        </w:rPr>
        <w:t>三</w:t>
      </w:r>
      <w:r>
        <w:rPr>
          <w:rFonts w:hint="eastAsia" w:ascii="方正黑体_GBK" w:hAnsi="方正黑体_GBK" w:eastAsia="方正黑体_GBK" w:cs="方正黑体_GBK"/>
          <w:sz w:val="32"/>
          <w:szCs w:val="40"/>
          <w:lang w:eastAsia="zh-CN"/>
        </w:rPr>
        <w:t>章</w:t>
      </w:r>
      <w:r>
        <w:rPr>
          <w:rFonts w:hint="eastAsia" w:ascii="方正黑体_GBK" w:hAnsi="方正黑体_GBK" w:eastAsia="方正黑体_GBK" w:cs="方正黑体_GBK"/>
          <w:sz w:val="32"/>
          <w:szCs w:val="40"/>
          <w:lang w:val="en-US" w:eastAsia="zh-CN"/>
        </w:rPr>
        <w:t xml:space="preserve">  资金申请、审核及拨付</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default" w:ascii="方正仿宋_GBK" w:hAnsi="方正仿宋_GBK" w:eastAsia="方正仿宋_GBK" w:cs="方正仿宋_GBK"/>
          <w:sz w:val="32"/>
          <w:szCs w:val="40"/>
          <w:lang w:val="en-US" w:eastAsia="zh-CN"/>
        </w:rPr>
      </w:pPr>
      <w:r>
        <w:rPr>
          <w:rFonts w:hint="eastAsia" w:ascii="黑体" w:hAnsi="黑体" w:eastAsia="黑体" w:cs="黑体"/>
          <w:sz w:val="32"/>
          <w:szCs w:val="40"/>
          <w:lang w:val="en-US" w:eastAsia="zh-CN"/>
        </w:rPr>
        <w:t>第六条</w:t>
      </w:r>
      <w:r>
        <w:rPr>
          <w:rFonts w:hint="eastAsia" w:ascii="方正仿宋_GBK" w:hAnsi="方正仿宋_GBK" w:eastAsia="方正仿宋_GBK" w:cs="方正仿宋_GBK"/>
          <w:sz w:val="32"/>
          <w:szCs w:val="40"/>
          <w:lang w:val="en-US" w:eastAsia="zh-CN"/>
        </w:rPr>
        <w:t xml:space="preserve">  市财政部门会同市自然资源部门，按照市本级城市开发需求和城市土地开发计划，编制年度预算，统筹安排资金，根据经批准的年度预算及收回土地情况，做好奖励资金的申请、审核、拨付和监督管理等各项工作。奖励资金通过多渠道筹集，具体可来源于：一般公共预算资金（部门预算专项）、政府性基金预算资金（土地收储专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40"/>
          <w:lang w:val="en-US" w:eastAsia="zh-CN"/>
        </w:rPr>
      </w:pPr>
      <w:r>
        <w:rPr>
          <w:rFonts w:hint="eastAsia" w:ascii="黑体" w:hAnsi="黑体" w:eastAsia="黑体" w:cs="黑体"/>
          <w:sz w:val="32"/>
          <w:szCs w:val="40"/>
          <w:lang w:val="en-US" w:eastAsia="zh-CN"/>
        </w:rPr>
        <w:t xml:space="preserve">第七条 </w:t>
      </w:r>
      <w:r>
        <w:rPr>
          <w:rFonts w:hint="eastAsia" w:ascii="方正仿宋_GBK" w:hAnsi="方正仿宋_GBK" w:eastAsia="方正仿宋_GBK" w:cs="方正仿宋_GBK"/>
          <w:sz w:val="32"/>
          <w:szCs w:val="40"/>
          <w:lang w:val="en-US" w:eastAsia="zh-CN"/>
        </w:rPr>
        <w:t xml:space="preserve"> 市财政部门联合市自然资源部门按照以下程序审核和拨付奖励资金：</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  </w:t>
      </w:r>
      <w:r>
        <w:rPr>
          <w:rFonts w:hint="eastAsia" w:ascii="方正楷体_GB2312" w:hAnsi="方正楷体_GB2312" w:eastAsia="方正楷体_GB2312" w:cs="方正楷体_GB2312"/>
          <w:sz w:val="32"/>
          <w:szCs w:val="40"/>
          <w:lang w:val="en-US" w:eastAsia="zh-CN"/>
        </w:rPr>
        <w:t>（一）提交申请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企业（单位）在签订土地收回协议后10个工作日内，向市财政部门提交奖励资金申请，并提供以下材料：</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1.土地收回奖励申请表；</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2.土地收回协议；</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3.企业营业执照及相关资质证明；</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4.对地方投资相关情况。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40"/>
          <w:lang w:val="en-US" w:eastAsia="zh-CN"/>
        </w:rPr>
      </w:pPr>
      <w:r>
        <w:rPr>
          <w:rFonts w:hint="eastAsia" w:ascii="方正楷体_GB2312" w:hAnsi="方正楷体_GB2312" w:eastAsia="方正楷体_GB2312" w:cs="方正楷体_GB2312"/>
          <w:sz w:val="32"/>
          <w:szCs w:val="40"/>
          <w:lang w:val="en-US" w:eastAsia="zh-CN"/>
        </w:rPr>
        <w:t>（二）联合审核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市财政部门自收到申请材料后15个工作日内，会同自然资源部门进行联合审核，报钦州市人民政府审定批准。</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资金拨付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经钦州市人民政府批准后，15个工作日内拨付奖励资金。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40"/>
          <w:lang w:val="en-US" w:eastAsia="zh-CN"/>
        </w:rPr>
      </w:pPr>
      <w:r>
        <w:rPr>
          <w:rFonts w:hint="eastAsia" w:ascii="黑体" w:hAnsi="黑体" w:eastAsia="黑体" w:cs="黑体"/>
          <w:sz w:val="32"/>
          <w:szCs w:val="40"/>
          <w:lang w:val="en-US" w:eastAsia="zh-CN"/>
        </w:rPr>
        <w:t>第八条</w:t>
      </w:r>
      <w:r>
        <w:rPr>
          <w:rFonts w:hint="eastAsia" w:ascii="方正仿宋_GBK" w:hAnsi="方正仿宋_GBK" w:eastAsia="方正仿宋_GBK" w:cs="方正仿宋_GBK"/>
          <w:sz w:val="32"/>
          <w:szCs w:val="40"/>
          <w:lang w:val="en-US" w:eastAsia="zh-CN"/>
        </w:rPr>
        <w:t xml:space="preserve">  市财政部门和市自然资源部门要加强对资金的绩效管理以及资金使用的监督检查，建立健全全过程预算绩效管理机制及监督检查和信息共享机制，提高资金使用效益。</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第四章  附  则</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 xml:space="preserve">    </w:t>
      </w:r>
      <w:r>
        <w:rPr>
          <w:rFonts w:hint="eastAsia" w:ascii="黑体" w:hAnsi="黑体" w:eastAsia="黑体" w:cs="黑体"/>
          <w:sz w:val="32"/>
          <w:szCs w:val="40"/>
          <w:lang w:val="en-US" w:eastAsia="zh-CN"/>
        </w:rPr>
        <w:t xml:space="preserve">第九条 </w:t>
      </w:r>
      <w:r>
        <w:rPr>
          <w:rFonts w:hint="eastAsia" w:ascii="方正仿宋_GBK" w:hAnsi="方正仿宋_GBK" w:eastAsia="方正仿宋_GBK" w:cs="方正仿宋_GBK"/>
          <w:sz w:val="32"/>
          <w:szCs w:val="40"/>
          <w:lang w:val="en-US" w:eastAsia="zh-CN"/>
        </w:rPr>
        <w:t xml:space="preserve"> 本办法由市财政局、市自然资源局负责解释。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40"/>
        </w:rPr>
      </w:pPr>
      <w:r>
        <w:rPr>
          <w:rFonts w:hint="eastAsia" w:ascii="黑体" w:hAnsi="黑体" w:eastAsia="黑体" w:cs="黑体"/>
          <w:sz w:val="32"/>
          <w:szCs w:val="40"/>
          <w:lang w:val="en-US" w:eastAsia="zh-CN"/>
        </w:rPr>
        <w:t>第十条</w:t>
      </w:r>
      <w:r>
        <w:rPr>
          <w:rFonts w:hint="eastAsia" w:ascii="方正仿宋_GBK" w:hAnsi="方正仿宋_GBK" w:eastAsia="方正仿宋_GBK" w:cs="方正仿宋_GBK"/>
          <w:sz w:val="32"/>
          <w:szCs w:val="40"/>
          <w:lang w:val="en-US" w:eastAsia="zh-CN"/>
        </w:rPr>
        <w:t xml:space="preserve">  本办法自印发之日</w:t>
      </w:r>
      <w:bookmarkStart w:id="0" w:name="_GoBack"/>
      <w:bookmarkEnd w:id="0"/>
      <w:r>
        <w:rPr>
          <w:rFonts w:hint="eastAsia" w:ascii="方正仿宋_GBK" w:hAnsi="方正仿宋_GBK" w:eastAsia="方正仿宋_GBK" w:cs="方正仿宋_GBK"/>
          <w:sz w:val="32"/>
          <w:szCs w:val="40"/>
          <w:lang w:val="en-US" w:eastAsia="zh-CN"/>
        </w:rPr>
        <w:t>起施行，试行期为一年。此前有关规定与本办法不一致的，以本办法规定为准。国家法律法规及上级政策另有规定的，从其规定。</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方正仿宋_GBK" w:eastAsia="方正仿宋_GBK" w:cs="方正仿宋_GBK"/>
          <w:sz w:val="32"/>
          <w:szCs w:val="40"/>
        </w:rPr>
      </w:pPr>
    </w:p>
    <w:sectPr>
      <w:footerReference r:id="rId3" w:type="default"/>
      <w:pgSz w:w="11906" w:h="16838"/>
      <w:pgMar w:top="2098" w:right="1474" w:bottom="1417"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3E4A6B-A6EB-45F8-B4FA-9FDF254B28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2425EE61-A6DF-4394-8A30-5988E3A66E38}"/>
  </w:font>
  <w:font w:name="楷体">
    <w:panose1 w:val="02010609060101010101"/>
    <w:charset w:val="86"/>
    <w:family w:val="auto"/>
    <w:pitch w:val="default"/>
    <w:sig w:usb0="800002BF" w:usb1="38CF7CFA" w:usb2="00000016" w:usb3="00000000" w:csb0="00040001" w:csb1="00000000"/>
    <w:embedRegular r:id="rId3" w:fontKey="{04628D1A-0F01-4A75-853D-72467DCDDFEC}"/>
  </w:font>
  <w:font w:name="方正仿宋_GBK">
    <w:panose1 w:val="02000000000000000000"/>
    <w:charset w:val="86"/>
    <w:family w:val="auto"/>
    <w:pitch w:val="default"/>
    <w:sig w:usb0="A00002BF" w:usb1="38CF7CFA" w:usb2="00082016" w:usb3="00000000" w:csb0="00040001" w:csb1="00000000"/>
    <w:embedRegular r:id="rId4" w:fontKey="{7FB641EB-81E5-4ED9-96E7-D62B09F86230}"/>
  </w:font>
  <w:font w:name="方正黑体_GBK">
    <w:panose1 w:val="02000000000000000000"/>
    <w:charset w:val="86"/>
    <w:family w:val="auto"/>
    <w:pitch w:val="default"/>
    <w:sig w:usb0="A00002BF" w:usb1="38CF7CFA" w:usb2="00082016" w:usb3="00000000" w:csb0="00040001" w:csb1="00000000"/>
    <w:embedRegular r:id="rId5" w:fontKey="{B3DF2D2B-ED8B-42D4-B66D-FAC78FDCCF33}"/>
  </w:font>
  <w:font w:name="方正楷体_GB2312">
    <w:panose1 w:val="02000000000000000000"/>
    <w:charset w:val="86"/>
    <w:family w:val="auto"/>
    <w:pitch w:val="default"/>
    <w:sig w:usb0="00000000" w:usb1="00000000" w:usb2="00000000" w:usb3="00000000" w:csb0="00000000" w:csb1="00000000"/>
    <w:embedRegular r:id="rId6" w:fontKey="{76AFE8F6-467D-457C-B529-40D2151F104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3979F4"/>
    <w:multiLevelType w:val="singleLevel"/>
    <w:tmpl w:val="D13979F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35854"/>
    <w:rsid w:val="00FB3F78"/>
    <w:rsid w:val="027135B4"/>
    <w:rsid w:val="02B14429"/>
    <w:rsid w:val="03F824CE"/>
    <w:rsid w:val="04335C11"/>
    <w:rsid w:val="049F717D"/>
    <w:rsid w:val="05992C37"/>
    <w:rsid w:val="0ADB1385"/>
    <w:rsid w:val="0C9B098C"/>
    <w:rsid w:val="0D79569D"/>
    <w:rsid w:val="0E235EB6"/>
    <w:rsid w:val="0F203C9D"/>
    <w:rsid w:val="11F33019"/>
    <w:rsid w:val="127759F8"/>
    <w:rsid w:val="14BC54C6"/>
    <w:rsid w:val="15DD6DE1"/>
    <w:rsid w:val="180A493F"/>
    <w:rsid w:val="18AF054B"/>
    <w:rsid w:val="1D2834F7"/>
    <w:rsid w:val="1E5E5B8F"/>
    <w:rsid w:val="1E817A1C"/>
    <w:rsid w:val="20F01248"/>
    <w:rsid w:val="22DF393C"/>
    <w:rsid w:val="26C025EE"/>
    <w:rsid w:val="2784429F"/>
    <w:rsid w:val="28DE6377"/>
    <w:rsid w:val="2A103AD6"/>
    <w:rsid w:val="2AE902CB"/>
    <w:rsid w:val="2AF35F0B"/>
    <w:rsid w:val="2B0A6FB1"/>
    <w:rsid w:val="2B4551D7"/>
    <w:rsid w:val="2B902EA7"/>
    <w:rsid w:val="2C4A205C"/>
    <w:rsid w:val="2DB6443B"/>
    <w:rsid w:val="2E497073"/>
    <w:rsid w:val="2E6E0BC0"/>
    <w:rsid w:val="30BB267D"/>
    <w:rsid w:val="327831DC"/>
    <w:rsid w:val="33733AF2"/>
    <w:rsid w:val="337E2A5B"/>
    <w:rsid w:val="33964347"/>
    <w:rsid w:val="33D53ED4"/>
    <w:rsid w:val="36D4069C"/>
    <w:rsid w:val="389A7E40"/>
    <w:rsid w:val="3B863C80"/>
    <w:rsid w:val="3B9F687F"/>
    <w:rsid w:val="3C061A05"/>
    <w:rsid w:val="3D6562C9"/>
    <w:rsid w:val="3D741B32"/>
    <w:rsid w:val="3DEB6E70"/>
    <w:rsid w:val="3E8D61D1"/>
    <w:rsid w:val="40F61ADD"/>
    <w:rsid w:val="416F7A29"/>
    <w:rsid w:val="43516679"/>
    <w:rsid w:val="4444468D"/>
    <w:rsid w:val="44E55D3A"/>
    <w:rsid w:val="4554734F"/>
    <w:rsid w:val="4B7D75ED"/>
    <w:rsid w:val="4D6D5452"/>
    <w:rsid w:val="4E18425E"/>
    <w:rsid w:val="4E9C3B15"/>
    <w:rsid w:val="4FA17831"/>
    <w:rsid w:val="50E33C7D"/>
    <w:rsid w:val="53FF492A"/>
    <w:rsid w:val="55787BEF"/>
    <w:rsid w:val="571A0371"/>
    <w:rsid w:val="57A2248F"/>
    <w:rsid w:val="57BA5963"/>
    <w:rsid w:val="57DE4602"/>
    <w:rsid w:val="59B84688"/>
    <w:rsid w:val="5A561ADE"/>
    <w:rsid w:val="5C035854"/>
    <w:rsid w:val="5DA5475C"/>
    <w:rsid w:val="60D84E80"/>
    <w:rsid w:val="61844A4B"/>
    <w:rsid w:val="61DF2A46"/>
    <w:rsid w:val="63F26680"/>
    <w:rsid w:val="654A0F69"/>
    <w:rsid w:val="66DD2326"/>
    <w:rsid w:val="676959C4"/>
    <w:rsid w:val="6A6E3115"/>
    <w:rsid w:val="6B3873E2"/>
    <w:rsid w:val="6CBC7308"/>
    <w:rsid w:val="6D257FA0"/>
    <w:rsid w:val="6E336EFC"/>
    <w:rsid w:val="6F8F0045"/>
    <w:rsid w:val="71844269"/>
    <w:rsid w:val="728C5AEA"/>
    <w:rsid w:val="72BB038E"/>
    <w:rsid w:val="733B477B"/>
    <w:rsid w:val="733E4B97"/>
    <w:rsid w:val="73B54BAD"/>
    <w:rsid w:val="73DE73B9"/>
    <w:rsid w:val="797A042B"/>
    <w:rsid w:val="7B257283"/>
    <w:rsid w:val="7D944852"/>
    <w:rsid w:val="7EA66C4A"/>
    <w:rsid w:val="7EE16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2074</Words>
  <Characters>2180</Characters>
  <Lines>0</Lines>
  <Paragraphs>0</Paragraphs>
  <TotalTime>13</TotalTime>
  <ScaleCrop>false</ScaleCrop>
  <LinksUpToDate>false</LinksUpToDate>
  <CharactersWithSpaces>2218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2025-11-18T07:41:00Z</dcterms:created>
  <dc:creator>金融发展科</dc:creator>
  <cp:lastModifiedBy>Administrator</cp:lastModifiedBy>
  <cp:lastPrinted>2025-11-21T07:20:00Z</cp:lastPrinted>
  <dcterms:modified xsi:type="dcterms:W3CDTF">2025-11-26T09:04:18Z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1BE5A28C0A954F65B79212688F518110_13</vt:lpwstr>
  </property>
  <property fmtid="{D5CDD505-2E9C-101B-9397-08002B2CF9AE}" pid="4" name="KSOTemplateDocerSaveRecord">
    <vt:lpwstr>eyJoZGlkIjoiYjFiZjgyMjc4MzIwOGRmYThhMmI5N2M1ODEwYTUxNmYiLCJ1c2VySWQiOiI5NzQ2MTA1MDMifQ==</vt:lpwstr>
  </property>
</Properties>
</file>